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19" w:lineRule="auto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6"/>
          <w:szCs w:val="36"/>
          <w:lang w:eastAsia="zh-CN"/>
        </w:rPr>
        <w:t>长治市潞州区医疗保障局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6"/>
          <w:szCs w:val="36"/>
        </w:rPr>
        <w:t>执法人员情况统计表</w:t>
      </w:r>
    </w:p>
    <w:p>
      <w:pPr>
        <w:spacing w:line="113" w:lineRule="exact"/>
        <w:rPr>
          <w:sz w:val="21"/>
          <w:szCs w:val="21"/>
        </w:rPr>
      </w:pPr>
    </w:p>
    <w:tbl>
      <w:tblPr>
        <w:tblStyle w:val="4"/>
        <w:tblpPr w:leftFromText="180" w:rightFromText="180" w:vertAnchor="text" w:horzAnchor="page" w:tblpX="1644" w:tblpY="370"/>
        <w:tblOverlap w:val="never"/>
        <w:tblW w:w="86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885"/>
        <w:gridCol w:w="1659"/>
        <w:gridCol w:w="903"/>
        <w:gridCol w:w="1101"/>
        <w:gridCol w:w="1632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25" w:type="dxa"/>
            <w:vAlign w:val="center"/>
          </w:tcPr>
          <w:p>
            <w:pPr>
              <w:pStyle w:val="5"/>
              <w:spacing w:before="21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执法证编号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1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pStyle w:val="5"/>
              <w:spacing w:before="214" w:line="22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903" w:type="dxa"/>
            <w:vAlign w:val="center"/>
          </w:tcPr>
          <w:p>
            <w:pPr>
              <w:pStyle w:val="5"/>
              <w:spacing w:before="214" w:line="22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3"/>
                <w:sz w:val="21"/>
                <w:szCs w:val="21"/>
              </w:rPr>
              <w:t>文化程度</w:t>
            </w:r>
          </w:p>
        </w:tc>
        <w:tc>
          <w:tcPr>
            <w:tcW w:w="1101" w:type="dxa"/>
            <w:vAlign w:val="center"/>
          </w:tcPr>
          <w:p>
            <w:pPr>
              <w:pStyle w:val="5"/>
              <w:spacing w:before="212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632" w:type="dxa"/>
            <w:vAlign w:val="center"/>
          </w:tcPr>
          <w:p>
            <w:pPr>
              <w:pStyle w:val="5"/>
              <w:spacing w:before="21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所属职务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spacing w:before="21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执法类别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04040135001</w:t>
            </w: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韩霖俊</w:t>
            </w: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潞州区医保局</w:t>
            </w: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党员</w:t>
            </w: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党组成员副局长</w:t>
            </w: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行政执法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25" w:type="dxa"/>
            <w:vAlign w:val="top"/>
          </w:tcPr>
          <w:p>
            <w:pPr>
              <w:pStyle w:val="5"/>
              <w:spacing w:before="200" w:line="220" w:lineRule="auto"/>
              <w:ind w:left="10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5"/>
              <w:spacing w:before="199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5"/>
              <w:spacing w:before="198" w:line="219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200" w:line="22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>
      <w:pPr>
        <w:spacing w:line="103" w:lineRule="exact"/>
        <w:rPr>
          <w:rFonts w:hint="eastAsia" w:ascii="仿宋" w:hAnsi="仿宋" w:eastAsia="仿宋" w:cs="仿宋"/>
          <w:sz w:val="21"/>
          <w:szCs w:val="21"/>
        </w:rPr>
      </w:pPr>
    </w:p>
    <w:sectPr>
      <w:footerReference r:id="rId5" w:type="default"/>
      <w:pgSz w:w="11906" w:h="16838"/>
      <w:pgMar w:top="1871" w:right="1701" w:bottom="1701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lZDIwN2VkMmQ0Y2NlMzA3ODc0OGQzM2UyNTIwYjUifQ=="/>
  </w:docVars>
  <w:rsids>
    <w:rsidRoot w:val="00000000"/>
    <w:rsid w:val="10CB177A"/>
    <w:rsid w:val="79E24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2024-01-05T10:42:00Z</dcterms:created>
  <dc:creator>Kingsoft-PDF</dc:creator>
  <cp:lastModifiedBy>用户5885</cp:lastModifiedBy>
  <dcterms:modified xsi:type="dcterms:W3CDTF">2024-01-05T03:40:19Z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2024-01-05T10:42:10Z</vt:filetime>
  </property>
  <property fmtid="{D5CDD505-2E9C-101B-9397-08002B2CF9AE}" pid="4" name="UsrData">
    <vt:lpwstr>65976c8072a3fa001f08b5bawl</vt:lpwstr>
  </property>
  <property fmtid="{D5CDD505-2E9C-101B-9397-08002B2CF9AE}" pid="5" name="KSOProductBuildVer">
    <vt:lpwstr>2052-12.1.0.16120</vt:lpwstr>
  </property>
  <property fmtid="{D5CDD505-2E9C-101B-9397-08002B2CF9AE}" pid="6" name="ICV">
    <vt:lpwstr>291FD1DBBA404A7DB5EC44B91800D199_12</vt:lpwstr>
  </property>
</Properties>
</file>